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31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9"/>
        <w:gridCol w:w="992"/>
        <w:gridCol w:w="2268"/>
        <w:gridCol w:w="1559"/>
        <w:gridCol w:w="1989"/>
      </w:tblGrid>
      <w:tr w:rsidR="00472996" w:rsidRPr="002B51B3" w14:paraId="63604DEC" w14:textId="47F83401" w:rsidTr="00095087">
        <w:trPr>
          <w:trHeight w:val="403"/>
        </w:trPr>
        <w:tc>
          <w:tcPr>
            <w:tcW w:w="7509" w:type="dxa"/>
            <w:shd w:val="clear" w:color="auto" w:fill="9BBB59" w:themeFill="accent3"/>
            <w:noWrap/>
            <w:vAlign w:val="bottom"/>
            <w:hideMark/>
          </w:tcPr>
          <w:p w14:paraId="40621031" w14:textId="77777777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Název položky</w:t>
            </w:r>
          </w:p>
        </w:tc>
        <w:tc>
          <w:tcPr>
            <w:tcW w:w="992" w:type="dxa"/>
            <w:shd w:val="clear" w:color="auto" w:fill="9BBB59" w:themeFill="accent3"/>
            <w:noWrap/>
            <w:vAlign w:val="bottom"/>
            <w:hideMark/>
          </w:tcPr>
          <w:p w14:paraId="0D13FF78" w14:textId="77777777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počet</w:t>
            </w:r>
          </w:p>
        </w:tc>
        <w:tc>
          <w:tcPr>
            <w:tcW w:w="2268" w:type="dxa"/>
            <w:shd w:val="clear" w:color="auto" w:fill="9BBB59" w:themeFill="accent3"/>
            <w:noWrap/>
            <w:vAlign w:val="bottom"/>
            <w:hideMark/>
          </w:tcPr>
          <w:p w14:paraId="533C6600" w14:textId="77777777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cena v Kč s DPH</w:t>
            </w:r>
          </w:p>
        </w:tc>
        <w:tc>
          <w:tcPr>
            <w:tcW w:w="1559" w:type="dxa"/>
            <w:shd w:val="clear" w:color="auto" w:fill="9BBB59" w:themeFill="accent3"/>
            <w:noWrap/>
            <w:vAlign w:val="bottom"/>
            <w:hideMark/>
          </w:tcPr>
          <w:p w14:paraId="4F21EBCF" w14:textId="6BF4B873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DPH</w:t>
            </w:r>
            <w:r w:rsidRPr="00D96577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 xml:space="preserve"> (</w:t>
            </w:r>
            <w:proofErr w:type="gramStart"/>
            <w:r w:rsidRPr="00D96577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21%</w:t>
            </w:r>
            <w:proofErr w:type="gramEnd"/>
            <w:r w:rsidRPr="00D96577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1989" w:type="dxa"/>
            <w:shd w:val="clear" w:color="auto" w:fill="9BBB59" w:themeFill="accent3"/>
            <w:vAlign w:val="bottom"/>
          </w:tcPr>
          <w:p w14:paraId="17EFD824" w14:textId="178E5E34" w:rsidR="00472996" w:rsidRPr="00D96577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cena v Kč bez DPH</w:t>
            </w:r>
          </w:p>
        </w:tc>
      </w:tr>
      <w:tr w:rsidR="00472996" w:rsidRPr="002B51B3" w14:paraId="0BF102CF" w14:textId="77777777" w:rsidTr="00095087">
        <w:trPr>
          <w:trHeight w:val="403"/>
        </w:trPr>
        <w:tc>
          <w:tcPr>
            <w:tcW w:w="7509" w:type="dxa"/>
            <w:shd w:val="clear" w:color="auto" w:fill="EAF1DD" w:themeFill="accent3" w:themeFillTint="33"/>
            <w:noWrap/>
            <w:vAlign w:val="center"/>
          </w:tcPr>
          <w:p w14:paraId="7DF73698" w14:textId="77777777" w:rsidR="00472996" w:rsidRPr="003A7030" w:rsidRDefault="00472996" w:rsidP="003A703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  <w:p w14:paraId="718EF335" w14:textId="4BB70095" w:rsidR="00472996" w:rsidRPr="00CE44D8" w:rsidRDefault="00CE44D8" w:rsidP="00CE44D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M</w:t>
            </w:r>
            <w:r w:rsidRPr="00CE44D8">
              <w:rPr>
                <w:rFonts w:eastAsia="Times New Roman" w:cs="Times New Roman"/>
                <w:color w:val="000000"/>
                <w:sz w:val="22"/>
                <w:lang w:eastAsia="cs-CZ"/>
              </w:rPr>
              <w:t>ulčovací příkopové ramen</w:t>
            </w:r>
            <w:r w:rsidR="00095087">
              <w:rPr>
                <w:rFonts w:eastAsia="Times New Roman" w:cs="Times New Roman"/>
                <w:color w:val="000000"/>
                <w:sz w:val="22"/>
                <w:lang w:eastAsia="cs-CZ"/>
              </w:rPr>
              <w:t>o</w:t>
            </w:r>
            <w:r w:rsidRPr="00CE44D8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za traktor pro OŘ UNL 2025</w:t>
            </w:r>
          </w:p>
          <w:p w14:paraId="5970FB81" w14:textId="77777777" w:rsidR="00472996" w:rsidRPr="003A7030" w:rsidRDefault="00472996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6D71A2" w14:textId="2676D071" w:rsidR="00472996" w:rsidRPr="003A7030" w:rsidRDefault="00472996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3A7030">
              <w:rPr>
                <w:rFonts w:eastAsia="Times New Roman" w:cs="Times New Roman"/>
                <w:color w:val="000000"/>
                <w:sz w:val="22"/>
                <w:lang w:eastAsia="cs-CZ"/>
              </w:rPr>
              <w:t>1 ks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AD31AA" w14:textId="749DC6CD" w:rsidR="00472996" w:rsidRPr="003A7030" w:rsidRDefault="009F593F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F593F">
              <w:rPr>
                <w:rFonts w:eastAsia="Verdana" w:cs="Times New Roman"/>
                <w:sz w:val="18"/>
                <w:szCs w:val="18"/>
                <w:highlight w:val="green"/>
              </w:rPr>
              <w:t>[VLOŽÍ ÚČASTNÍK]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570A1E" w14:textId="3294A672" w:rsidR="00472996" w:rsidRPr="003A7030" w:rsidRDefault="009F593F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F593F">
              <w:rPr>
                <w:rFonts w:eastAsia="Verdana" w:cs="Times New Roman"/>
                <w:sz w:val="18"/>
                <w:szCs w:val="18"/>
                <w:highlight w:val="green"/>
              </w:rPr>
              <w:t>[VLOŽÍ ÚČASTNÍK]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14:paraId="382C060D" w14:textId="332555C6" w:rsidR="00472996" w:rsidRPr="003A7030" w:rsidRDefault="009F593F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F593F">
              <w:rPr>
                <w:rFonts w:eastAsia="Verdana" w:cs="Times New Roman"/>
                <w:sz w:val="18"/>
                <w:szCs w:val="18"/>
                <w:highlight w:val="green"/>
              </w:rPr>
              <w:t>[VLOŽÍ ÚČASTNÍK]</w:t>
            </w:r>
          </w:p>
        </w:tc>
      </w:tr>
      <w:tr w:rsidR="00472996" w:rsidRPr="002B51B3" w14:paraId="1B17A13E" w14:textId="292C854F" w:rsidTr="00095087">
        <w:trPr>
          <w:trHeight w:val="7502"/>
        </w:trPr>
        <w:tc>
          <w:tcPr>
            <w:tcW w:w="7509" w:type="dxa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A244689" w14:textId="77777777" w:rsidR="00CE44D8" w:rsidRDefault="00A420BC" w:rsidP="00CE44D8">
            <w:pPr>
              <w:spacing w:before="240" w:after="0" w:line="240" w:lineRule="auto"/>
              <w:ind w:left="211"/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Bližší specifikace předmětu koupě</w:t>
            </w:r>
            <w:r w:rsidR="003A7030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– Technické parametry</w:t>
            </w:r>
            <w:r w:rsidR="00472996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: </w:t>
            </w:r>
          </w:p>
          <w:p w14:paraId="4673B350" w14:textId="1BC6B3B1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szCs w:val="20"/>
              </w:rPr>
              <w:t>Připojitelné k Traktoru LANDINI</w:t>
            </w:r>
          </w:p>
          <w:p w14:paraId="40FEE959" w14:textId="4753946A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rFonts w:cs="Times New Roman"/>
                <w:szCs w:val="20"/>
              </w:rPr>
            </w:pPr>
            <w:r w:rsidRPr="00CE44D8">
              <w:rPr>
                <w:rFonts w:cs="Times New Roman"/>
                <w:szCs w:val="20"/>
              </w:rPr>
              <w:t>Ramenová sek</w:t>
            </w:r>
            <w:r>
              <w:rPr>
                <w:rFonts w:cs="Times New Roman"/>
                <w:szCs w:val="20"/>
              </w:rPr>
              <w:t>a</w:t>
            </w:r>
            <w:r w:rsidRPr="00CE44D8">
              <w:rPr>
                <w:rFonts w:cs="Times New Roman"/>
                <w:szCs w:val="20"/>
              </w:rPr>
              <w:t>čka (</w:t>
            </w:r>
            <w:proofErr w:type="spellStart"/>
            <w:r w:rsidRPr="00CE44D8">
              <w:rPr>
                <w:rFonts w:cs="Times New Roman"/>
                <w:szCs w:val="20"/>
              </w:rPr>
              <w:t>mulčovač</w:t>
            </w:r>
            <w:proofErr w:type="spellEnd"/>
            <w:r w:rsidRPr="00CE44D8">
              <w:rPr>
                <w:rFonts w:cs="Times New Roman"/>
                <w:szCs w:val="20"/>
              </w:rPr>
              <w:t>) pro zadní agregaci do tříbodového závěsu kategorie 2</w:t>
            </w:r>
          </w:p>
          <w:p w14:paraId="0E4AC98F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Vhodná pro nosič</w:t>
            </w:r>
          </w:p>
          <w:p w14:paraId="66233EB3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Minimální dosah mulčovací hlavy 4,5 m od středu traktoru</w:t>
            </w:r>
          </w:p>
          <w:p w14:paraId="71294B5E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Pohon pomocí kardanu min. 500 otáček/min</w:t>
            </w:r>
          </w:p>
          <w:p w14:paraId="583D3608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Vlastní hydraulický agregát s nádrží o objemu min. 90 litrů</w:t>
            </w:r>
          </w:p>
          <w:p w14:paraId="3F4EA580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Mulčovací hlava záběr min. 1,2 m</w:t>
            </w:r>
          </w:p>
          <w:p w14:paraId="472FFC1C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Rotor osazený těžkými kladivy na nálet min. 50 mm</w:t>
            </w:r>
          </w:p>
          <w:p w14:paraId="16E7AB7F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Přímý pohon rotoru</w:t>
            </w:r>
          </w:p>
          <w:p w14:paraId="50AADB23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Nastavitelný opěrný válec</w:t>
            </w:r>
          </w:p>
          <w:p w14:paraId="45A5A9CD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Obousměrné otáčky rotoru</w:t>
            </w:r>
          </w:p>
          <w:p w14:paraId="7F700060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Výkon čerpadla min. 60 HP</w:t>
            </w:r>
          </w:p>
          <w:p w14:paraId="06CB5A17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Plovoucí poloha hlavy</w:t>
            </w:r>
          </w:p>
          <w:p w14:paraId="424BD788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Olejový chladič</w:t>
            </w:r>
          </w:p>
          <w:p w14:paraId="72985891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Kopírování terénu prvního ramene</w:t>
            </w:r>
          </w:p>
          <w:p w14:paraId="598A9C8C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proofErr w:type="spellStart"/>
            <w:r w:rsidRPr="00CE44D8">
              <w:rPr>
                <w:rFonts w:cs="Times New Roman"/>
                <w:szCs w:val="20"/>
              </w:rPr>
              <w:t>Protinárazová</w:t>
            </w:r>
            <w:proofErr w:type="spellEnd"/>
            <w:r w:rsidRPr="00CE44D8">
              <w:rPr>
                <w:rFonts w:cs="Times New Roman"/>
                <w:szCs w:val="20"/>
              </w:rPr>
              <w:t xml:space="preserve"> mechanická pojistka</w:t>
            </w:r>
          </w:p>
          <w:p w14:paraId="35A49A06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Světelná rampa</w:t>
            </w:r>
          </w:p>
          <w:p w14:paraId="06B5B8FE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szCs w:val="20"/>
              </w:rPr>
              <w:t>Kardan</w:t>
            </w:r>
          </w:p>
          <w:p w14:paraId="04868F77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Stabilizátory tříbodového závěsu</w:t>
            </w:r>
          </w:p>
          <w:p w14:paraId="393A7BA2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Plně proporcionální elektronické ovládání joystickem</w:t>
            </w:r>
          </w:p>
          <w:p w14:paraId="13A5C08F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Programovatelná citlivost pohybů ramene</w:t>
            </w:r>
          </w:p>
          <w:p w14:paraId="58D8E518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Spouštění rotoru elektronicky</w:t>
            </w:r>
          </w:p>
          <w:p w14:paraId="13D9BDF0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Prohlášení CE</w:t>
            </w:r>
          </w:p>
          <w:p w14:paraId="2358491A" w14:textId="77777777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Technické osvědčení</w:t>
            </w:r>
          </w:p>
          <w:p w14:paraId="37F8558C" w14:textId="6351EC73" w:rsidR="00CE44D8" w:rsidRPr="00CE44D8" w:rsidRDefault="00CE44D8" w:rsidP="00CE44D8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CE44D8">
              <w:rPr>
                <w:rFonts w:cs="Times New Roman"/>
                <w:szCs w:val="20"/>
              </w:rPr>
              <w:t>Hydraulické složení za traktor 90 st</w:t>
            </w:r>
            <w:r>
              <w:rPr>
                <w:rFonts w:cs="Times New Roman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FA6D28" w14:textId="77777777" w:rsidR="00472996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  <w:p w14:paraId="1B442DDE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1DE4EF58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1A6F9952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76893E25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5908AD4E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7E21778E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10C94DE6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3A25BC54" w14:textId="77777777" w:rsidR="00CE44D8" w:rsidRDefault="00CE44D8" w:rsidP="00CE44D8">
            <w:pPr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  <w:p w14:paraId="01FD19E1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72B39C20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1E537BAB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5E99FACE" w14:textId="77777777" w:rsidR="00CE44D8" w:rsidRDefault="00CE44D8" w:rsidP="00CE44D8">
            <w:pPr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  <w:p w14:paraId="73680E27" w14:textId="7777777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  <w:p w14:paraId="1C8595D9" w14:textId="77777777" w:rsidR="00CE44D8" w:rsidRDefault="00CE44D8" w:rsidP="00CE44D8">
            <w:pPr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  <w:p w14:paraId="6436C9A4" w14:textId="77777777" w:rsidR="00CE44D8" w:rsidRDefault="00CE44D8" w:rsidP="00CE44D8">
            <w:pPr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  <w:p w14:paraId="4CF6ACC8" w14:textId="35298F57" w:rsidR="00CE44D8" w:rsidRPr="00CE44D8" w:rsidRDefault="00CE44D8" w:rsidP="00CE44D8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F608E" w14:textId="122BCB79" w:rsidR="00472996" w:rsidRPr="002B51B3" w:rsidRDefault="00472996" w:rsidP="002B51B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37F0A4" w14:textId="6A6DD25B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2DFF9" w14:textId="4035C906" w:rsidR="00472996" w:rsidRPr="002B51B3" w:rsidRDefault="00472996" w:rsidP="002B51B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</w:tbl>
    <w:p w14:paraId="6A9745B1" w14:textId="77777777" w:rsidR="00CE44D8" w:rsidRPr="00D96577" w:rsidRDefault="00CE44D8">
      <w:pPr>
        <w:rPr>
          <w:sz w:val="18"/>
          <w:szCs w:val="20"/>
        </w:rPr>
      </w:pPr>
    </w:p>
    <w:sectPr w:rsidR="00CE44D8" w:rsidRPr="00D96577" w:rsidSect="00CE44D8"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417" w:left="1417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BC291" w14:textId="77777777" w:rsidR="002B51B3" w:rsidRDefault="002B51B3" w:rsidP="002B51B3">
      <w:pPr>
        <w:spacing w:after="0" w:line="240" w:lineRule="auto"/>
      </w:pPr>
      <w:r>
        <w:separator/>
      </w:r>
    </w:p>
  </w:endnote>
  <w:endnote w:type="continuationSeparator" w:id="0">
    <w:p w14:paraId="331D9B21" w14:textId="77777777" w:rsidR="002B51B3" w:rsidRDefault="002B51B3" w:rsidP="002B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7790376"/>
      <w:docPartObj>
        <w:docPartGallery w:val="Page Numbers (Bottom of Page)"/>
        <w:docPartUnique/>
      </w:docPartObj>
    </w:sdtPr>
    <w:sdtEndPr>
      <w:rPr>
        <w:b/>
        <w:bCs/>
        <w:color w:val="E36C0A" w:themeColor="accent6" w:themeShade="BF"/>
        <w:sz w:val="16"/>
        <w:szCs w:val="18"/>
      </w:rPr>
    </w:sdtEndPr>
    <w:sdtContent>
      <w:p w14:paraId="7A3FF94D" w14:textId="2C01751F" w:rsidR="002B51B3" w:rsidRPr="002B51B3" w:rsidRDefault="002B51B3">
        <w:pPr>
          <w:pStyle w:val="Zpat"/>
          <w:jc w:val="center"/>
          <w:rPr>
            <w:b/>
            <w:bCs/>
            <w:color w:val="E36C0A" w:themeColor="accent6" w:themeShade="BF"/>
            <w:sz w:val="16"/>
            <w:szCs w:val="18"/>
          </w:rPr>
        </w:pP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begin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instrText>PAGE   \* MERGEFORMAT</w:instrTex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separate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t>2</w: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end"/>
        </w:r>
      </w:p>
    </w:sdtContent>
  </w:sdt>
  <w:p w14:paraId="118D69CE" w14:textId="77777777" w:rsidR="002B51B3" w:rsidRDefault="002B51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7289017"/>
      <w:docPartObj>
        <w:docPartGallery w:val="Page Numbers (Bottom of Page)"/>
        <w:docPartUnique/>
      </w:docPartObj>
    </w:sdtPr>
    <w:sdtContent>
      <w:p w14:paraId="0D4E9766" w14:textId="1ABE8DE6" w:rsidR="00095087" w:rsidRDefault="000950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EA472E" w14:textId="77777777" w:rsidR="00CE44D8" w:rsidRDefault="00CE44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3DCFC" w14:textId="77777777" w:rsidR="002B51B3" w:rsidRDefault="002B51B3" w:rsidP="002B51B3">
      <w:pPr>
        <w:spacing w:after="0" w:line="240" w:lineRule="auto"/>
      </w:pPr>
      <w:r>
        <w:separator/>
      </w:r>
    </w:p>
  </w:footnote>
  <w:footnote w:type="continuationSeparator" w:id="0">
    <w:p w14:paraId="654FC028" w14:textId="77777777" w:rsidR="002B51B3" w:rsidRDefault="002B51B3" w:rsidP="002B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8691B" w14:textId="7C910A73" w:rsidR="00F93022" w:rsidRPr="00095087" w:rsidRDefault="00F93022" w:rsidP="00F93022">
    <w:r w:rsidRPr="00095087">
      <w:t>Příloha č. 5 Položkový rozpočet (příloha č. 2 smlouvy)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747B3"/>
    <w:multiLevelType w:val="hybridMultilevel"/>
    <w:tmpl w:val="D988D1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946C4"/>
    <w:multiLevelType w:val="hybridMultilevel"/>
    <w:tmpl w:val="33BE85A4"/>
    <w:lvl w:ilvl="0" w:tplc="DEDE92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05155"/>
    <w:multiLevelType w:val="hybridMultilevel"/>
    <w:tmpl w:val="53065C82"/>
    <w:lvl w:ilvl="0" w:tplc="D604117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E66E3"/>
    <w:multiLevelType w:val="hybridMultilevel"/>
    <w:tmpl w:val="E13AEF40"/>
    <w:lvl w:ilvl="0" w:tplc="6F88430E">
      <w:start w:val="1"/>
      <w:numFmt w:val="bullet"/>
      <w:lvlText w:val="-"/>
      <w:lvlJc w:val="left"/>
      <w:pPr>
        <w:ind w:left="631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num w:numId="1" w16cid:durableId="1429306293">
    <w:abstractNumId w:val="1"/>
  </w:num>
  <w:num w:numId="2" w16cid:durableId="747770071">
    <w:abstractNumId w:val="4"/>
  </w:num>
  <w:num w:numId="3" w16cid:durableId="1806777707">
    <w:abstractNumId w:val="0"/>
  </w:num>
  <w:num w:numId="4" w16cid:durableId="1410693274">
    <w:abstractNumId w:val="2"/>
  </w:num>
  <w:num w:numId="5" w16cid:durableId="589316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B3"/>
    <w:rsid w:val="00095087"/>
    <w:rsid w:val="00127826"/>
    <w:rsid w:val="002B51B3"/>
    <w:rsid w:val="003413D3"/>
    <w:rsid w:val="003727EC"/>
    <w:rsid w:val="003A7030"/>
    <w:rsid w:val="00407F8D"/>
    <w:rsid w:val="00472996"/>
    <w:rsid w:val="006E1A8E"/>
    <w:rsid w:val="0097780A"/>
    <w:rsid w:val="009A6B68"/>
    <w:rsid w:val="009F593F"/>
    <w:rsid w:val="00A420BC"/>
    <w:rsid w:val="00A75908"/>
    <w:rsid w:val="00AD5E34"/>
    <w:rsid w:val="00B544D2"/>
    <w:rsid w:val="00BF6A6B"/>
    <w:rsid w:val="00CE44D8"/>
    <w:rsid w:val="00D96577"/>
    <w:rsid w:val="00F9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7A482F"/>
  <w15:chartTrackingRefBased/>
  <w15:docId w15:val="{84782A3F-1195-4287-A3EE-D70C4AB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2B51B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51B3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1B3"/>
  </w:style>
  <w:style w:type="paragraph" w:styleId="Zpat">
    <w:name w:val="footer"/>
    <w:basedOn w:val="Normln"/>
    <w:link w:val="Zpat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D1339F9392BB4798C87C5784279CE5" ma:contentTypeVersion="5" ma:contentTypeDescription="Vytvoří nový dokument" ma:contentTypeScope="" ma:versionID="557f9c45d4d9b4c572a64f833f86e408">
  <xsd:schema xmlns:xsd="http://www.w3.org/2001/XMLSchema" xmlns:xs="http://www.w3.org/2001/XMLSchema" xmlns:p="http://schemas.microsoft.com/office/2006/metadata/properties" xmlns:ns3="b7f81ddd-1d2c-46d1-aa4d-abb7b1e6c6ef" targetNamespace="http://schemas.microsoft.com/office/2006/metadata/properties" ma:root="true" ma:fieldsID="9af1a8fe4cb1a02994396e7fdef381e6" ns3:_="">
    <xsd:import namespace="b7f81ddd-1d2c-46d1-aa4d-abb7b1e6c6e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81ddd-1d2c-46d1-aa4d-abb7b1e6c6e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33937A-C0F2-41D4-B0DF-EC70BA818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6F5918-1C3C-4984-AFF8-675A67B6F4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7f81ddd-1d2c-46d1-aa4d-abb7b1e6c6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A3498A-EFC9-42D4-B56E-118AC76167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850C5-596E-4431-9B80-C4EC81878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81ddd-1d2c-46d1-aa4d-abb7b1e6c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Harvanová Radka, DiS.</dc:creator>
  <cp:keywords/>
  <dc:description/>
  <cp:lastModifiedBy>Harvanová Radka, DiS.</cp:lastModifiedBy>
  <cp:revision>9</cp:revision>
  <dcterms:created xsi:type="dcterms:W3CDTF">2025-04-09T08:51:00Z</dcterms:created>
  <dcterms:modified xsi:type="dcterms:W3CDTF">2025-07-29T10:25:00Z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0x010100DCD1339F9392BB4798C87C5784279CE5</vt:lpwstr>
  </property>
</Properties>
</file>